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X82fcb551a891e188a64f8cfcdf674e53602da9e"/>
    <w:p>
      <w:pPr>
        <w:pStyle w:val="Heading1"/>
      </w:pPr>
      <w:r>
        <w:t xml:space="preserve">1. Policy Analysis: Attendance-Based Grading in Ontario Schools</w:t>
      </w:r>
    </w:p>
    <w:bookmarkStart w:id="20" w:name="relevant-documents"/>
    <w:p>
      <w:pPr>
        <w:pStyle w:val="Heading2"/>
      </w:pPr>
      <w:r>
        <w:t xml:space="preserve">1.1 Relevant Documents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Bill 101:</w:t>
      </w:r>
      <w:r>
        <w:t xml:space="preserve"> </w:t>
      </w:r>
      <w:r>
        <w:rPr>
          <w:i/>
          <w:iCs/>
        </w:rPr>
        <w:t xml:space="preserve">Putting Student Achievement First Act</w:t>
      </w:r>
      <w:r>
        <w:t xml:space="preserve"> </w:t>
      </w:r>
      <w:r>
        <w:t xml:space="preserve">(2026)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Growing Success:</w:t>
      </w:r>
      <w:r>
        <w:t xml:space="preserve"> </w:t>
      </w:r>
      <w:r>
        <w:rPr>
          <w:i/>
          <w:iCs/>
        </w:rPr>
        <w:t xml:space="preserve">Assessment, Evaluation, and Reporting in Ontario Schools</w:t>
      </w:r>
      <w:r>
        <w:t xml:space="preserve"> </w:t>
      </w:r>
      <w:r>
        <w:t xml:space="preserve">(2010)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OHRC Policy:</w:t>
      </w:r>
      <w:r>
        <w:t xml:space="preserve"> </w:t>
      </w:r>
      <w:r>
        <w:rPr>
          <w:i/>
          <w:iCs/>
        </w:rPr>
        <w:t xml:space="preserve">Policy on accessible education for students with disabilities</w:t>
      </w:r>
      <w:r>
        <w:t xml:space="preserve"> </w:t>
      </w:r>
      <w:r>
        <w:t xml:space="preserve">(2018)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PPM 119:</w:t>
      </w:r>
      <w:r>
        <w:t xml:space="preserve"> </w:t>
      </w:r>
      <w:r>
        <w:rPr>
          <w:i/>
          <w:iCs/>
        </w:rPr>
        <w:t xml:space="preserve">Equity and Inclusive Education in Ontario Schools</w:t>
      </w:r>
      <w:r>
        <w:t xml:space="preserve"> </w:t>
      </w:r>
      <w:r>
        <w:t xml:space="preserve">(2013)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PPM 145:</w:t>
      </w:r>
      <w:r>
        <w:t xml:space="preserve"> </w:t>
      </w:r>
      <w:r>
        <w:rPr>
          <w:i/>
          <w:iCs/>
        </w:rPr>
        <w:t xml:space="preserve">Progressive Discipline and Promoting Positive Student Behaviour</w:t>
      </w:r>
      <w:r>
        <w:t xml:space="preserve"> </w:t>
      </w:r>
      <w:r>
        <w:t xml:space="preserve">(2018)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Ontario Human Rights Code</w:t>
      </w:r>
      <w:r>
        <w:t xml:space="preserve"> </w:t>
      </w:r>
      <w:r>
        <w:t xml:space="preserve">(R.S.O. 1990, c. H.19)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document analyzes the impacts, concerns, and policy contradictions related to the Ministry’s announcement (via Bill 101 [1]) that student attendance and participation will now account for 15% (Grades 9-10) and 10% (Grades 11-12) of final grades.</w:t>
      </w:r>
    </w:p>
    <w:bookmarkEnd w:id="20"/>
    <w:bookmarkStart w:id="25" w:name="policy-intersections-and-contradictions"/>
    <w:p>
      <w:pPr>
        <w:pStyle w:val="Heading2"/>
      </w:pPr>
      <w:r>
        <w:t xml:space="preserve">1.2 1. Policy Intersections and Contradictions</w:t>
      </w:r>
    </w:p>
    <w:bookmarkStart w:id="21" w:name="growing-success-the-primary-conflict"/>
    <w:p>
      <w:pPr>
        <w:pStyle w:val="Heading3"/>
      </w:pPr>
      <w:r>
        <w:t xml:space="preserve">1.2.1 Growing Success (The Primary Conflict)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Fundamental Principle:</w:t>
      </w:r>
      <w:r>
        <w:t xml:space="preserve"> </w:t>
      </w:r>
      <w:r>
        <w:rPr>
          <w:i/>
          <w:iCs/>
        </w:rPr>
        <w:t xml:space="preserve">Growing Success</w:t>
      </w:r>
      <w:r>
        <w:t xml:space="preserve"> </w:t>
      </w:r>
      <w:r>
        <w:t xml:space="preserve">[2] (p. 10) explicitly states:</w:t>
      </w:r>
      <w:r>
        <w:t xml:space="preserve"> </w:t>
      </w:r>
      <w:r>
        <w:rPr>
          <w:i/>
          <w:iCs/>
        </w:rPr>
        <w:t xml:space="preserve">“The evaluation of student learning is the responsibility of the teacher and must be based on the student’s achievement of the curriculum expectations.”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Separation of Learning Skills:</w:t>
      </w:r>
      <w:r>
        <w:t xml:space="preserve"> </w:t>
      </w:r>
      <w:r>
        <w:t xml:space="preserve">Currently, attendance and</w:t>
      </w:r>
      <w:r>
        <w:t xml:space="preserve"> </w:t>
      </w:r>
      <w:r>
        <w:t xml:space="preserve">“Learning Skills and Work Habits”</w:t>
      </w:r>
      <w:r>
        <w:t xml:space="preserve"> </w:t>
      </w:r>
      <w:r>
        <w:t xml:space="preserve">(Responsibility, Independent Work, etc.) are reported</w:t>
      </w:r>
      <w:r>
        <w:t xml:space="preserve"> </w:t>
      </w:r>
      <w:r>
        <w:rPr>
          <w:b/>
          <w:bCs/>
        </w:rPr>
        <w:t xml:space="preserve">separately</w:t>
      </w:r>
      <w:r>
        <w:t xml:space="preserve"> </w:t>
      </w:r>
      <w:r>
        <w:t xml:space="preserve">from the percentage grade.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Direct Contradiction:</w:t>
      </w:r>
      <w:r>
        <w:t xml:space="preserve"> </w:t>
      </w:r>
      <w:r>
        <w:t xml:space="preserve">By making attendance a part of the numerical grade, the Ministry is reversing a decade of policy designed to ensure grades represent</w:t>
      </w:r>
      <w:r>
        <w:t xml:space="preserve"> </w:t>
      </w:r>
      <w:r>
        <w:rPr>
          <w:i/>
          <w:iCs/>
        </w:rPr>
        <w:t xml:space="preserve">competency</w:t>
      </w:r>
      <w:r>
        <w:t xml:space="preserve"> </w:t>
      </w:r>
      <w:r>
        <w:t xml:space="preserve">rather than</w:t>
      </w:r>
      <w:r>
        <w:t xml:space="preserve"> </w:t>
      </w:r>
      <w:r>
        <w:rPr>
          <w:i/>
          <w:iCs/>
        </w:rPr>
        <w:t xml:space="preserve">compliance</w:t>
      </w:r>
      <w:r>
        <w:t xml:space="preserve">.</w:t>
      </w:r>
    </w:p>
    <w:bookmarkEnd w:id="21"/>
    <w:bookmarkStart w:id="22" w:name="the-education-act-bill-101"/>
    <w:p>
      <w:pPr>
        <w:pStyle w:val="Heading3"/>
      </w:pPr>
      <w:r>
        <w:t xml:space="preserve">1.2.2 The Education Act (Bill 101)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Ministerial Power:</w:t>
      </w:r>
      <w:r>
        <w:t xml:space="preserve"> </w:t>
      </w:r>
      <w:r>
        <w:t xml:space="preserve">Bill 101 [1] amends Section 8(1) to give the Minister direct authority over assessment policies. This allows the Ministry to override the principles in</w:t>
      </w:r>
      <w:r>
        <w:t xml:space="preserve"> </w:t>
      </w:r>
      <w:r>
        <w:rPr>
          <w:i/>
          <w:iCs/>
        </w:rPr>
        <w:t xml:space="preserve">Growing Success</w:t>
      </w:r>
      <w:r>
        <w:t xml:space="preserve"> </w:t>
      </w:r>
      <w:r>
        <w:t xml:space="preserve">[2] without a full pedagogical review.</w:t>
      </w:r>
    </w:p>
    <w:bookmarkEnd w:id="22"/>
    <w:bookmarkStart w:id="23" w:name="human-rights-and-equity-ohrc-ppm-119"/>
    <w:p>
      <w:pPr>
        <w:pStyle w:val="Heading3"/>
      </w:pPr>
      <w:r>
        <w:t xml:space="preserve">1.2.3 Human Rights and Equity (OHRC &amp; PPM 119)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Duty to Accommodate:</w:t>
      </w:r>
      <w:r>
        <w:t xml:space="preserve"> </w:t>
      </w:r>
      <w:r>
        <w:t xml:space="preserve">Under the</w:t>
      </w:r>
      <w:r>
        <w:t xml:space="preserve"> </w:t>
      </w:r>
      <w:r>
        <w:rPr>
          <w:i/>
          <w:iCs/>
        </w:rPr>
        <w:t xml:space="preserve">Ontario Human Rights Code</w:t>
      </w:r>
      <w:r>
        <w:t xml:space="preserve"> </w:t>
      </w:r>
      <w:r>
        <w:t xml:space="preserve">[6], school boards have a legal duty to accommodate students with disabilities to the point of undue hardship. The</w:t>
      </w:r>
      <w:r>
        <w:t xml:space="preserve"> </w:t>
      </w:r>
      <w:r>
        <w:rPr>
          <w:i/>
          <w:iCs/>
        </w:rPr>
        <w:t xml:space="preserve">OHRC Policy on Accessible Education (2018)</w:t>
      </w:r>
      <w:r>
        <w:t xml:space="preserve"> </w:t>
      </w:r>
      <w:r>
        <w:t xml:space="preserve">[3] notes that</w:t>
      </w:r>
      <w:r>
        <w:t xml:space="preserve"> </w:t>
      </w:r>
      <w:r>
        <w:t xml:space="preserve">“attendance requirements”</w:t>
      </w:r>
      <w:r>
        <w:t xml:space="preserve"> </w:t>
      </w:r>
      <w:r>
        <w:t xml:space="preserve">can be a significant barrier for students with disabilities (mental health, chronic illness, etc.).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Discriminatory Impact:</w:t>
      </w:r>
      <w:r>
        <w:t xml:space="preserve"> </w:t>
      </w:r>
      <w:r>
        <w:t xml:space="preserve">Penalizing attendance may be found discriminatory if it negatively impacts students based on protected grounds (disability, family status, race, or socio-economic status).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Equity and Inclusion (PPM 119):</w:t>
      </w:r>
      <w:r>
        <w:t xml:space="preserve"> </w:t>
      </w:r>
      <w:r>
        <w:t xml:space="preserve">This memorandum [4] requires boards to identify and remove systemic barriers. Attendance-based grading may be viewed as creating a new systemic barrier that contravenes the goals of PPM 119.</w:t>
      </w:r>
    </w:p>
    <w:bookmarkEnd w:id="23"/>
    <w:bookmarkStart w:id="24" w:name="progressive-discipline-ppm-145"/>
    <w:p>
      <w:pPr>
        <w:pStyle w:val="Heading3"/>
      </w:pPr>
      <w:r>
        <w:t xml:space="preserve">1.2.4 Progressive Discipline (PPM 145)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Shift in Approach:</w:t>
      </w:r>
      <w:r>
        <w:t xml:space="preserve"> </w:t>
      </w:r>
      <w:r>
        <w:rPr>
          <w:i/>
          <w:iCs/>
        </w:rPr>
        <w:t xml:space="preserve">PPM 145</w:t>
      </w:r>
      <w:r>
        <w:t xml:space="preserve"> </w:t>
      </w:r>
      <w:r>
        <w:t xml:space="preserve">[5] emphasizes</w:t>
      </w:r>
      <w:r>
        <w:t xml:space="preserve"> </w:t>
      </w:r>
      <w:r>
        <w:t xml:space="preserve">“Progressive Discipline”</w:t>
      </w:r>
      <w:r>
        <w:t xml:space="preserve"> </w:t>
      </w:r>
      <w:r>
        <w:t xml:space="preserve">as a non-punitive, educational approach to behavior issues (including absenteeism). Tying attendance to grades shifts absenteeism from a behavioral issue to an academic penalty, which bypasses the restorative goals of PPM 145.</w:t>
      </w:r>
    </w:p>
    <w:bookmarkEnd w:id="24"/>
    <w:bookmarkEnd w:id="25"/>
    <w:bookmarkStart w:id="29" w:name="concerns-for-educators-and-associations"/>
    <w:p>
      <w:pPr>
        <w:pStyle w:val="Heading2"/>
      </w:pPr>
      <w:r>
        <w:t xml:space="preserve">1.3 2. Concerns for Educators and Associations</w:t>
      </w:r>
    </w:p>
    <w:bookmarkStart w:id="26" w:name="pedagogical-integrity"/>
    <w:p>
      <w:pPr>
        <w:pStyle w:val="Heading3"/>
      </w:pPr>
      <w:r>
        <w:t xml:space="preserve">1.3.1 Pedagogical Integrity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“Diluted”</w:t>
      </w:r>
      <w:r>
        <w:rPr>
          <w:b/>
          <w:bCs/>
        </w:rPr>
        <w:t xml:space="preserve"> </w:t>
      </w:r>
      <w:r>
        <w:rPr>
          <w:b/>
          <w:bCs/>
        </w:rPr>
        <w:t xml:space="preserve">Grades:</w:t>
      </w:r>
      <w:r>
        <w:t xml:space="preserve"> </w:t>
      </w:r>
      <w:r>
        <w:t xml:space="preserve">If a student masters 100% of the curriculum but loses 15% for being absent due to family issues, their grade no longer reflects their actual knowledge. Conversely, a student with perfect attendance but weak skills might be</w:t>
      </w:r>
      <w:r>
        <w:t xml:space="preserve"> </w:t>
      </w:r>
      <w:r>
        <w:t xml:space="preserve">“passed”</w:t>
      </w:r>
      <w:r>
        <w:t xml:space="preserve"> </w:t>
      </w:r>
      <w:r>
        <w:t xml:space="preserve">through attendance padding.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Credit Integrity:</w:t>
      </w:r>
      <w:r>
        <w:t xml:space="preserve"> </w:t>
      </w:r>
      <w:r>
        <w:t xml:space="preserve">Universities and colleges rely on Ontario grades as a measure of academic readiness. Attendance-based grading may lead to</w:t>
      </w:r>
      <w:r>
        <w:t xml:space="preserve"> </w:t>
      </w:r>
      <w:r>
        <w:t xml:space="preserve">“grade inflation”</w:t>
      </w:r>
      <w:r>
        <w:t xml:space="preserve"> </w:t>
      </w:r>
      <w:r>
        <w:t xml:space="preserve">or</w:t>
      </w:r>
      <w:r>
        <w:t xml:space="preserve"> </w:t>
      </w:r>
      <w:r>
        <w:t xml:space="preserve">“grade distortion,”</w:t>
      </w:r>
      <w:r>
        <w:t xml:space="preserve"> </w:t>
      </w:r>
      <w:r>
        <w:t xml:space="preserve">devaluing the Ontario Secondary School Diploma (OSSD).</w:t>
      </w:r>
    </w:p>
    <w:bookmarkEnd w:id="26"/>
    <w:bookmarkStart w:id="27" w:name="administrative-and-legal-burden"/>
    <w:p>
      <w:pPr>
        <w:pStyle w:val="Heading3"/>
      </w:pPr>
      <w:r>
        <w:t xml:space="preserve">1.3.2 Administrative and Legal Burden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Appeals:</w:t>
      </w:r>
      <w:r>
        <w:t xml:space="preserve"> </w:t>
      </w:r>
      <w:r>
        <w:t xml:space="preserve">Teachers and principals may face a surge in appeals from parents demanding</w:t>
      </w:r>
      <w:r>
        <w:t xml:space="preserve"> </w:t>
      </w:r>
      <w:r>
        <w:t xml:space="preserve">“excused”</w:t>
      </w:r>
      <w:r>
        <w:t xml:space="preserve"> </w:t>
      </w:r>
      <w:r>
        <w:t xml:space="preserve">status for absences to protect their child’s grade.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Record-Keeping:</w:t>
      </w:r>
      <w:r>
        <w:t xml:space="preserve"> </w:t>
      </w:r>
      <w:r>
        <w:t xml:space="preserve">Precise tracking of attendance now becomes a high-stakes legal requirement, as it directly impacts a student’s final percentage and potential for scholarships.</w:t>
      </w:r>
    </w:p>
    <w:bookmarkEnd w:id="27"/>
    <w:bookmarkStart w:id="28" w:name="systemic-issues-vs.-classroom-symptoms"/>
    <w:p>
      <w:pPr>
        <w:pStyle w:val="Heading3"/>
      </w:pPr>
      <w:r>
        <w:t xml:space="preserve">1.3.3 Systemic Issues vs. Classroom Symptoms</w:t>
      </w:r>
    </w:p>
    <w:p>
      <w:pPr>
        <w:pStyle w:val="Compact"/>
        <w:numPr>
          <w:ilvl w:val="0"/>
          <w:numId w:val="1008"/>
        </w:numPr>
      </w:pPr>
      <w:r>
        <w:t xml:space="preserve">This policy addresses the</w:t>
      </w:r>
      <w:r>
        <w:t xml:space="preserve"> </w:t>
      </w:r>
      <w:r>
        <w:rPr>
          <w:i/>
          <w:iCs/>
        </w:rPr>
        <w:t xml:space="preserve">symptom</w:t>
      </w:r>
      <w:r>
        <w:t xml:space="preserve"> </w:t>
      </w:r>
      <w:r>
        <w:t xml:space="preserve">(absenteeism) without addressing the</w:t>
      </w:r>
      <w:r>
        <w:t xml:space="preserve"> </w:t>
      </w:r>
      <w:r>
        <w:rPr>
          <w:i/>
          <w:iCs/>
        </w:rPr>
        <w:t xml:space="preserve">cause</w:t>
      </w:r>
      <w:r>
        <w:t xml:space="preserve"> </w:t>
      </w:r>
      <w:r>
        <w:t xml:space="preserve">(lack of engagement, mental health, systemic barriers).</w:t>
      </w:r>
    </w:p>
    <w:bookmarkEnd w:id="28"/>
    <w:bookmarkEnd w:id="29"/>
    <w:bookmarkStart w:id="33" w:name="X47356d3ab799e73deb49e602dd49d656e389190"/>
    <w:p>
      <w:pPr>
        <w:pStyle w:val="Heading2"/>
      </w:pPr>
      <w:r>
        <w:t xml:space="preserve">1.4 3. Government Rationale (The Case for the Policy)</w:t>
      </w:r>
    </w:p>
    <w:p>
      <w:pPr>
        <w:pStyle w:val="FirstParagraph"/>
      </w:pPr>
      <w:r>
        <w:t xml:space="preserve">The Ministry of Education has framed the introduction of attendance-based grading as a key component of its</w:t>
      </w:r>
      <w:r>
        <w:t xml:space="preserve"> </w:t>
      </w:r>
      <w:r>
        <w:t xml:space="preserve">“Back to Basics”</w:t>
      </w:r>
      <w:r>
        <w:t xml:space="preserve"> </w:t>
      </w:r>
      <w:r>
        <w:t xml:space="preserve">and</w:t>
      </w:r>
      <w:r>
        <w:t xml:space="preserve"> </w:t>
      </w:r>
      <w:r>
        <w:t xml:space="preserve">“Student Achievement First”</w:t>
      </w:r>
      <w:r>
        <w:t xml:space="preserve"> </w:t>
      </w:r>
      <w:r>
        <w:t xml:space="preserve">agenda. The government’s position centers on several key pillars:</w:t>
      </w:r>
    </w:p>
    <w:bookmarkStart w:id="30" w:name="Xfdd3ac823bff72754d56795080dd67b53f8d13b"/>
    <w:p>
      <w:pPr>
        <w:pStyle w:val="Heading3"/>
      </w:pPr>
      <w:r>
        <w:t xml:space="preserve">1.4.1 Combatting the Post-Pandemic Attendance Crisis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Restoring Norms:</w:t>
      </w:r>
      <w:r>
        <w:t xml:space="preserve"> </w:t>
      </w:r>
      <w:r>
        <w:t xml:space="preserve">Since the return to in-person learning, school boards have reported a significant increase in chronic absenteeism. The Ministry views this policy as a necessary lever to restore the pre-pandemic norm of daily physical attendance.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Direct Incentive:</w:t>
      </w:r>
      <w:r>
        <w:t xml:space="preserve"> </w:t>
      </w:r>
      <w:r>
        <w:t xml:space="preserve">By giving attendance</w:t>
      </w:r>
      <w:r>
        <w:t xml:space="preserve"> </w:t>
      </w:r>
      <w:r>
        <w:t xml:space="preserve">“teeth”</w:t>
      </w:r>
      <w:r>
        <w:t xml:space="preserve"> </w:t>
      </w:r>
      <w:r>
        <w:t xml:space="preserve">in the gradebook, the government aims to provide a clear, tangible incentive for students to prioritize being in the classroom.</w:t>
      </w:r>
    </w:p>
    <w:bookmarkEnd w:id="30"/>
    <w:bookmarkStart w:id="31" w:name="X1c2b5625032c6b4cb08a526de3476571cdedb7f"/>
    <w:p>
      <w:pPr>
        <w:pStyle w:val="Heading3"/>
      </w:pPr>
      <w:r>
        <w:t xml:space="preserve">1.4.2 Valuing In-Person Learning as a Social Process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Classroom Synergy:</w:t>
      </w:r>
      <w:r>
        <w:t xml:space="preserve"> </w:t>
      </w:r>
      <w:r>
        <w:t xml:space="preserve">The Ministry maintains that learning is not just about completing worksheets or submitting digital files; it is a collaborative, social process that requires physical presence and peer interaction.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Skills for the Future:</w:t>
      </w:r>
      <w:r>
        <w:t xml:space="preserve"> </w:t>
      </w:r>
      <w:r>
        <w:t xml:space="preserve">Regular attendance is framed as an essential</w:t>
      </w:r>
      <w:r>
        <w:t xml:space="preserve"> </w:t>
      </w:r>
      <w:r>
        <w:t xml:space="preserve">“life skill”</w:t>
      </w:r>
      <w:r>
        <w:t xml:space="preserve"> </w:t>
      </w:r>
      <w:r>
        <w:t xml:space="preserve">that prepares students for the workplace, where being present and reliable is a fundamental requirement of employment.</w:t>
      </w:r>
    </w:p>
    <w:bookmarkEnd w:id="31"/>
    <w:bookmarkStart w:id="32" w:name="X8bd7eb85df2c46e5825954c657bd771f52b0d80"/>
    <w:p>
      <w:pPr>
        <w:pStyle w:val="Heading3"/>
      </w:pPr>
      <w:r>
        <w:t xml:space="preserve">1.4.3 Enhancing Parental Accountability and Transparency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Clear Expectations:</w:t>
      </w:r>
      <w:r>
        <w:t xml:space="preserve"> </w:t>
      </w:r>
      <w:r>
        <w:t xml:space="preserve">Tying attendance to grades is intended to send a clear message to parents about the Ministry’s expectations. It provides parents with a visible indicator of how their child’s presence (or absence) is impacting their overall academic performance.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Consistency:</w:t>
      </w:r>
      <w:r>
        <w:t xml:space="preserve"> </w:t>
      </w:r>
      <w:r>
        <w:t xml:space="preserve">The policy creates a province-wide standard for how attendance is valued, preventing inconsistencies between different school boards or individual schools.</w:t>
      </w:r>
    </w:p>
    <w:bookmarkEnd w:id="32"/>
    <w:bookmarkEnd w:id="33"/>
    <w:bookmarkStart w:id="37" w:name="stakeholder-perspectives-teacher-unions"/>
    <w:p>
      <w:pPr>
        <w:pStyle w:val="Heading2"/>
      </w:pPr>
      <w:r>
        <w:t xml:space="preserve">1.5 4. Stakeholder Perspectives (Teacher Unions)</w:t>
      </w:r>
    </w:p>
    <w:p>
      <w:pPr>
        <w:pStyle w:val="FirstParagraph"/>
      </w:pPr>
      <w:r>
        <w:t xml:space="preserve">The major teacher federations (OSSTF, ETFO, OECTA, AEFO) have raised significant concerns regarding Bill 101:</w:t>
      </w:r>
      <w:r>
        <w:t xml:space="preserve"> </w:t>
      </w:r>
      <w:r>
        <w:t xml:space="preserve">### Punishing the Vulnerable</w:t>
      </w:r>
      <w:r>
        <w:t xml:space="preserve"> </w:t>
      </w:r>
      <w:r>
        <w:t xml:space="preserve">OSSTF [8] has argued that tying marks to attendance punishes vulnerable students rather than addressing the root causes of absenteeism (mental health, poverty, school violence).</w:t>
      </w:r>
    </w:p>
    <w:bookmarkStart w:id="34" w:name="smoke-and-mirrors"/>
    <w:p>
      <w:pPr>
        <w:pStyle w:val="Heading3"/>
      </w:pPr>
      <w:r>
        <w:t xml:space="preserve">1.5.1</w:t>
      </w:r>
      <w:r>
        <w:t xml:space="preserve"> </w:t>
      </w:r>
      <w:r>
        <w:t xml:space="preserve">“Smoke and Mirrors”</w:t>
      </w:r>
    </w:p>
    <w:p>
      <w:pPr>
        <w:pStyle w:val="FirstParagraph"/>
      </w:pPr>
      <w:r>
        <w:t xml:space="preserve">OECTA [9] and AEFO have characterized these mandates as</w:t>
      </w:r>
      <w:r>
        <w:t xml:space="preserve"> </w:t>
      </w:r>
      <w:r>
        <w:t xml:space="preserve">“smoke and mirrors”</w:t>
      </w:r>
      <w:r>
        <w:t xml:space="preserve"> </w:t>
      </w:r>
      <w:r>
        <w:t xml:space="preserve">designed to distract from systemic underfunding and the teacher recruitment crisis.</w:t>
      </w:r>
    </w:p>
    <w:bookmarkEnd w:id="34"/>
    <w:bookmarkStart w:id="35" w:name="lack-of-consultation"/>
    <w:p>
      <w:pPr>
        <w:pStyle w:val="Heading3"/>
      </w:pPr>
      <w:r>
        <w:t xml:space="preserve">1.5.2 Lack of Consultation</w:t>
      </w:r>
    </w:p>
    <w:p>
      <w:pPr>
        <w:pStyle w:val="FirstParagraph"/>
      </w:pPr>
      <w:r>
        <w:t xml:space="preserve">Unions have criticized the government for a lack of meaningful consultation with educators before introducing these high-stakes changes.</w:t>
      </w:r>
    </w:p>
    <w:bookmarkEnd w:id="35"/>
    <w:bookmarkStart w:id="36" w:name="centralization-of-power"/>
    <w:p>
      <w:pPr>
        <w:pStyle w:val="Heading3"/>
      </w:pPr>
      <w:r>
        <w:t xml:space="preserve">1.5.3 Centralization of Power</w:t>
      </w:r>
    </w:p>
    <w:p>
      <w:pPr>
        <w:pStyle w:val="FirstParagraph"/>
      </w:pPr>
      <w:r>
        <w:t xml:space="preserve">There is widespread concern that Bill 101 removes local accountability and further erodes teacher professional judgment by mandating rigid grading formulas.</w:t>
      </w:r>
    </w:p>
    <w:bookmarkEnd w:id="36"/>
    <w:bookmarkEnd w:id="37"/>
    <w:bookmarkStart w:id="38" w:name="summary-table"/>
    <w:p>
      <w:pPr>
        <w:pStyle w:val="Heading2"/>
      </w:pPr>
      <w:r>
        <w:t xml:space="preserve">1.6 5. Summary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Issue Area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 Contradiction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Concern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Potential Benefit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Curriculum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Growing Success</w:t>
            </w:r>
            <w:r>
              <w:t xml:space="preserve"> </w:t>
            </w:r>
            <w:r>
              <w:t xml:space="preserve">[2]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Grades reflect attendance, not achievement.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Recognizes</w:t>
            </w:r>
            <w:r>
              <w:t xml:space="preserve"> </w:t>
            </w:r>
            <w:r>
              <w:t xml:space="preserve">“being present”</w:t>
            </w:r>
            <w:r>
              <w:t xml:space="preserve"> </w:t>
            </w:r>
            <w:r>
              <w:t xml:space="preserve">as part of learning.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Equity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 Rights Code [6]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Penalizes marginalized and vulnerable students.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May identify students needing early intervention.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Integrity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OSSD Standards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Devalues the meaning of an Ontario grade.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Increases student accountability.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Workload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 Policies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Massive increase in grade appeals/legalism.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Consistent rule for all schools.</w:t>
            </w:r>
          </w:p>
        </w:tc>
      </w:tr>
    </w:tbl>
    <w:bookmarkEnd w:id="38"/>
    <w:bookmarkStart w:id="48" w:name="sources-and-citations"/>
    <w:p>
      <w:pPr>
        <w:pStyle w:val="Heading2"/>
      </w:pPr>
      <w:r>
        <w:t xml:space="preserve">1.7 6. Sources and Citations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Bill 101:</w:t>
      </w:r>
      <w:r>
        <w:t xml:space="preserve"> </w:t>
      </w:r>
      <w:hyperlink r:id="rId39">
        <w:r>
          <w:rPr>
            <w:rStyle w:val="Hyperlink"/>
          </w:rPr>
          <w:t xml:space="preserve">Legislative Assembly of Ontario</w:t>
        </w:r>
      </w:hyperlink>
      <w:r>
        <w:t xml:space="preserve"> </w:t>
      </w:r>
      <w:r>
        <w:t xml:space="preserve">(Date Added: 2026-05-07)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Growing Success:</w:t>
      </w:r>
      <w:r>
        <w:t xml:space="preserve"> </w:t>
      </w:r>
      <w:hyperlink r:id="rId40">
        <w:r>
          <w:rPr>
            <w:rStyle w:val="Hyperlink"/>
          </w:rPr>
          <w:t xml:space="preserve">Ontario Ministry of Education</w:t>
        </w:r>
      </w:hyperlink>
      <w:r>
        <w:t xml:space="preserve"> </w:t>
      </w:r>
      <w:r>
        <w:t xml:space="preserve">(Date Added: 2026-05-07)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OHRC Policy on Accessible Education:</w:t>
      </w:r>
      <w:r>
        <w:t xml:space="preserve"> </w:t>
      </w:r>
      <w:hyperlink r:id="rId41">
        <w:r>
          <w:rPr>
            <w:rStyle w:val="Hyperlink"/>
          </w:rPr>
          <w:t xml:space="preserve">Official Policy</w:t>
        </w:r>
      </w:hyperlink>
      <w:r>
        <w:t xml:space="preserve"> </w:t>
      </w:r>
      <w:r>
        <w:t xml:space="preserve">(Date Added: 2026-05-07)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PPM 119 (Equity):</w:t>
      </w:r>
      <w:r>
        <w:t xml:space="preserve"> </w:t>
      </w:r>
      <w:hyperlink r:id="rId42">
        <w:r>
          <w:rPr>
            <w:rStyle w:val="Hyperlink"/>
          </w:rPr>
          <w:t xml:space="preserve">Ontario.ca</w:t>
        </w:r>
      </w:hyperlink>
      <w:r>
        <w:t xml:space="preserve"> </w:t>
      </w:r>
      <w:r>
        <w:t xml:space="preserve">(Date Added: 2026-05-07)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PPM 145 (Discipline):</w:t>
      </w:r>
      <w:r>
        <w:t xml:space="preserve"> </w:t>
      </w:r>
      <w:hyperlink r:id="rId43">
        <w:r>
          <w:rPr>
            <w:rStyle w:val="Hyperlink"/>
          </w:rPr>
          <w:t xml:space="preserve">Ontario.ca</w:t>
        </w:r>
      </w:hyperlink>
      <w:r>
        <w:t xml:space="preserve"> </w:t>
      </w:r>
      <w:r>
        <w:t xml:space="preserve">(Date Added: 2026-05-07)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Ontario Human Rights Code:</w:t>
      </w:r>
      <w:r>
        <w:t xml:space="preserve"> </w:t>
      </w:r>
      <w:hyperlink r:id="rId44">
        <w:r>
          <w:rPr>
            <w:rStyle w:val="Hyperlink"/>
          </w:rPr>
          <w:t xml:space="preserve">Official Text</w:t>
        </w:r>
      </w:hyperlink>
      <w:r>
        <w:t xml:space="preserve"> </w:t>
      </w:r>
      <w:r>
        <w:t xml:space="preserve">(Date Added: 2026-05-07)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PPM 128 (Code of Conduct):</w:t>
      </w:r>
      <w:r>
        <w:t xml:space="preserve"> </w:t>
      </w:r>
      <w:hyperlink r:id="rId45">
        <w:r>
          <w:rPr>
            <w:rStyle w:val="Hyperlink"/>
          </w:rPr>
          <w:t xml:space="preserve">Ontario.ca</w:t>
        </w:r>
      </w:hyperlink>
      <w:r>
        <w:t xml:space="preserve"> </w:t>
      </w:r>
      <w:r>
        <w:t xml:space="preserve">(Date Added: 2026-05-07)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OSSTF Statement:</w:t>
      </w:r>
      <w:r>
        <w:t xml:space="preserve"> </w:t>
      </w:r>
      <w:hyperlink r:id="rId46">
        <w:r>
          <w:rPr>
            <w:rStyle w:val="Hyperlink"/>
          </w:rPr>
          <w:t xml:space="preserve">Fix the Funding. Get to the Table.</w:t>
        </w:r>
      </w:hyperlink>
      <w:r>
        <w:t xml:space="preserve"> </w:t>
      </w:r>
      <w:r>
        <w:t xml:space="preserve">(Date Added: 2026-05-07)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OECTA Statement:</w:t>
      </w:r>
      <w:r>
        <w:t xml:space="preserve"> </w:t>
      </w:r>
      <w:hyperlink r:id="rId47">
        <w:r>
          <w:rPr>
            <w:rStyle w:val="Hyperlink"/>
          </w:rPr>
          <w:t xml:space="preserve">Ford Government’s Ineffective Cellphone Policy is More Smoke and Mirrors</w:t>
        </w:r>
      </w:hyperlink>
      <w:r>
        <w:t xml:space="preserve"> </w:t>
      </w:r>
      <w:r>
        <w:t xml:space="preserve">(Date Added: 2026-05-07)</w:t>
      </w:r>
    </w:p>
    <w:bookmarkEnd w:id="48"/>
    <w:bookmarkStart w:id="50" w:name="provide-feedback"/>
    <w:p>
      <w:pPr>
        <w:pStyle w:val="Heading2"/>
      </w:pPr>
      <w:r>
        <w:t xml:space="preserve">1.8 7. Provide Feedback</w:t>
      </w:r>
    </w:p>
    <w:p>
      <w:pPr>
        <w:pStyle w:val="FirstParagraph"/>
      </w:pPr>
      <w:r>
        <w:t xml:space="preserve">Your insights are valuable. This analysis is an ongoing effort to document and understand Ontario’s changing education landscape. If you have feedback, documents to share, or suggest a new policy area—including additional resource materials to contribute or specific citations to be included in our research—please use our</w:t>
      </w:r>
      <w:r>
        <w:t xml:space="preserve"> </w:t>
      </w:r>
      <w:hyperlink r:id="rId49">
        <w:r>
          <w:rPr>
            <w:rStyle w:val="Hyperlink"/>
          </w:rPr>
          <w:t xml:space="preserve">Feedback Form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Last Updated:</w:t>
      </w:r>
      <w:r>
        <w:t xml:space="preserve"> </w:t>
      </w:r>
      <w:r>
        <w:t xml:space="preserve">2026-05-13</w:t>
      </w:r>
    </w:p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9" Target="https://forms.gle/jcXv1pCfj9ydBAzp7" TargetMode="External" /><Relationship Type="http://schemas.openxmlformats.org/officeDocument/2006/relationships/hyperlink" Id="rId44" Target="https://www.canlii.org/en/on/laws/stat/rso-1990-c-h19/latest/rso-1990-c-h19.html" TargetMode="External" /><Relationship Type="http://schemas.openxmlformats.org/officeDocument/2006/relationships/hyperlink" Id="rId47" Target="https://www.catholicteachers.ca/News-Events/News/Releases/ford-govt-cellphone-smoke-and-mirrors" TargetMode="External" /><Relationship Type="http://schemas.openxmlformats.org/officeDocument/2006/relationships/hyperlink" Id="rId41" Target="https://www.ohrc.on.ca/en/policy-accessible-education-students-disabilities" TargetMode="External" /><Relationship Type="http://schemas.openxmlformats.org/officeDocument/2006/relationships/hyperlink" Id="rId39" Target="https://www.ola.org/en/legislative-business/bills/parliament-44/session-1/bill-101" TargetMode="External" /><Relationship Type="http://schemas.openxmlformats.org/officeDocument/2006/relationships/hyperlink" Id="rId42" Target="https://www.ontario.ca/document/education-ontario-policy-and-program-direction/policyprogram-memorandum-119" TargetMode="External" /><Relationship Type="http://schemas.openxmlformats.org/officeDocument/2006/relationships/hyperlink" Id="rId45" Target="https://www.ontario.ca/document/education-ontario-policy-and-program-direction/policyprogram-memorandum-128" TargetMode="External" /><Relationship Type="http://schemas.openxmlformats.org/officeDocument/2006/relationships/hyperlink" Id="rId43" Target="https://www.ontario.ca/document/education-ontario-policy-and-program-direction/policyprogram-memorandum-145" TargetMode="External" /><Relationship Type="http://schemas.openxmlformats.org/officeDocument/2006/relationships/hyperlink" Id="rId40" Target="https://www.ontario.ca/page/growing-success-assessment-evaluation-and-reporting-ontario-schools-kindergarten-grade-12" TargetMode="External" /><Relationship Type="http://schemas.openxmlformats.org/officeDocument/2006/relationships/hyperlink" Id="rId46" Target="https://www.osstf.on.ca/en-CA/news/fix-the-funding-get-to-the-table-stop-the-chaos-in-ontario-schools.asp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9" Target="https://forms.gle/jcXv1pCfj9ydBAzp7" TargetMode="External" /><Relationship Type="http://schemas.openxmlformats.org/officeDocument/2006/relationships/hyperlink" Id="rId44" Target="https://www.canlii.org/en/on/laws/stat/rso-1990-c-h19/latest/rso-1990-c-h19.html" TargetMode="External" /><Relationship Type="http://schemas.openxmlformats.org/officeDocument/2006/relationships/hyperlink" Id="rId47" Target="https://www.catholicteachers.ca/News-Events/News/Releases/ford-govt-cellphone-smoke-and-mirrors" TargetMode="External" /><Relationship Type="http://schemas.openxmlformats.org/officeDocument/2006/relationships/hyperlink" Id="rId41" Target="https://www.ohrc.on.ca/en/policy-accessible-education-students-disabilities" TargetMode="External" /><Relationship Type="http://schemas.openxmlformats.org/officeDocument/2006/relationships/hyperlink" Id="rId39" Target="https://www.ola.org/en/legislative-business/bills/parliament-44/session-1/bill-101" TargetMode="External" /><Relationship Type="http://schemas.openxmlformats.org/officeDocument/2006/relationships/hyperlink" Id="rId42" Target="https://www.ontario.ca/document/education-ontario-policy-and-program-direction/policyprogram-memorandum-119" TargetMode="External" /><Relationship Type="http://schemas.openxmlformats.org/officeDocument/2006/relationships/hyperlink" Id="rId45" Target="https://www.ontario.ca/document/education-ontario-policy-and-program-direction/policyprogram-memorandum-128" TargetMode="External" /><Relationship Type="http://schemas.openxmlformats.org/officeDocument/2006/relationships/hyperlink" Id="rId43" Target="https://www.ontario.ca/document/education-ontario-policy-and-program-direction/policyprogram-memorandum-145" TargetMode="External" /><Relationship Type="http://schemas.openxmlformats.org/officeDocument/2006/relationships/hyperlink" Id="rId40" Target="https://www.ontario.ca/page/growing-success-assessment-evaluation-and-reporting-ontario-schools-kindergarten-grade-12" TargetMode="External" /><Relationship Type="http://schemas.openxmlformats.org/officeDocument/2006/relationships/hyperlink" Id="rId46" Target="https://www.osstf.on.ca/en-CA/news/fix-the-funding-get-to-the-table-stop-the-chaos-in-ontario-schools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2026-05-13T18:09:52Z</dcterms:created>
  <dcterms:modified xsi:type="dcterms:W3CDTF">2026-05-13T18:09:52Z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